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79 vom 10. September 2025</w:t>
      </w:r>
    </w:p>
    <w:p>
      <w:r>
        <w:t>VS Kantonsgericht, 2025-09-10, FR</w:t>
      </w:r>
    </w:p>
    <w:p>
      <w:r>
        <w:rPr>
          <w:b/>
        </w:rPr>
        <w:t xml:space="preserve">Quelle: </w:t>
      </w:r>
      <w:r>
        <w:t>https://mcp.opencaselaw.ch/entscheid/vs_gerichte_A1 25 79</w:t>
      </w:r>
    </w:p>
    <w:p>
      <w:r>
        <w:t>FR: VS_GERICHTE A1 25 79 du 10 septembre 2025</w:t>
      </w:r>
    </w:p>
    <w:p>
      <w:r>
        <w:t>IT: VS_GERICHTE A1 25 79 del 10 settembre 2025</w:t>
      </w:r>
    </w:p>
    <w:p>
      <w:pPr>
        <w:pStyle w:val="Heading2"/>
      </w:pPr>
      <w:r>
        <w:t>Regeste</w:t>
      </w:r>
    </w:p>
    <w:p>
      <w:r>
        <w:t>A1 25 79 ARRÊT DU 10 SEPTEMBRE 2025 Tribunal cantonal du Valais Cour de droit public Composition : Christophe Joris, président ; Dr Thierry Schnyder et Frédéric Fellay, juges, en la cause X _________ SA, recourante, représentée par Maître Marcel-Henri Gard, avocat à Sierre contre CONSEIL D'ETAT DU VALAIS, autorité attaquée, agissant par le Service immobilier et patrimoine du Département des finances et de l’énergie, à Sion (marché public ; révocation de la décision d’adjudication) recours de droit administratif contre la décision du 30 avril 2025</w:t>
      </w:r>
    </w:p>
    <w:p>
      <w:pPr>
        <w:pStyle w:val="Heading2"/>
      </w:pPr>
      <w:r>
        <w:t>Erwägungen</w:t>
      </w:r>
    </w:p>
    <w:p>
      <w:r>
        <w:rPr>
          <w:b/>
        </w:rPr>
        <w:t>E. 1.1</w:t>
      </w:r>
    </w:p>
    <w:p>
      <w:r>
        <w:t>La révocation est une décision qui peut être contestée céans dans un délai de 20 jours dès sa notification (art. 52 al. 1, 53 al. 1 let. f, 56 al. 1 et 64 al. 1 AIMP ; cf. ég. art. 18 al. 1 LcAIMP ; pour l’application du nouveau droit : cf. arrêt du Tribunal fédéral 2D_4/2025 du 28 avril 2025 consid. 3.3.1 et ACDP A1 24 56 du 5 juillet 2024 consid. 1.2 et 1.3). Déposé le 26 mai 2025 contre la décision de révocation du 30 avril 2025 expédiée le 7 mai 2025, le recours du 26 mai 2025 intervient dans le délai légal. En tant que destinataire de la décision litigieuse, la recourante dispose d’un intérêt digne de protection à ce qu'elle soit annulée ou modifiée (art. 80 al. 1 let. a et 44 al. 1 let. a LPJA).</w:t>
      </w:r>
    </w:p>
    <w:p>
      <w:r>
        <w:rPr>
          <w:b/>
        </w:rPr>
        <w:t>E. 1.2</w:t>
      </w:r>
    </w:p>
    <w:p>
      <w:r>
        <w:t>La conclusion n° 1 du mémoire de recours tend à l’annulation de la décision contestée et ajoute que « cette décision devant être déclarée nulle et sans effet » (cf. dossier du TC, p. 36). Cette référence à la nullité ne constitue manifestement qu’une précision mal formulée de la demande d’annulation. A supposer qu’il s’agisse d’une conclusion distincte tendant à la nullité, celle-ci devrait être déclarée irrecevable faute de répondre aux exigences de motivation (art. 80 al. 1 let. c et 48 al. 2 LPJA).</w:t>
      </w:r>
    </w:p>
    <w:p>
      <w:r>
        <w:rPr>
          <w:b/>
        </w:rPr>
        <w:t>E. 1.3</w:t>
      </w:r>
    </w:p>
    <w:p>
      <w:r>
        <w:t>Le recours est présenté de manière décousue et prolixe. En outre, il est truffé, au même titre que la réplique, de références jurisprudentielles totalement étrangères aux questions juridiques auxquelles les arrêts en question seraient censés se rapporter (p. ex. ATF 131 II 627 [p. 11 du mémoire], qui relève d’un contentieux fiscal dans le domaine de la prévoyance professionnelle, arrêt du Tribunal fédéral 2C_407/2014 du 6 août 2015 [recte : 7 mai 2014, p. 2 de la réplique], qui est un arrêt d’irrecevabilité sanctionnant un recours insuffisamment motivé ou encore ACDP A1 18 6 du 18 mars 2022 [recte : 23 août 2018, p. 11 du mémoire], qui tranche un litige en matière d’indemnité d’expropriation). Le recourant cite par ailleurs nombre de considérants qui n’existent tout simplement pas dans les arrêts concernés (p. ex. consid. 4.3 de l’ATF 145 II 130 [p. 4 de la réplique], consid. 5.3 de l’arrêt du Tribunal fédéral 2D_43/2015 [p. 15 de la réplique], consid. 10.3.2 de l’ATF 139 II 185 et consid. 2.2.1 de l’ATF 138 II 162 [p. 17 de la réplique]). Ces constats ne</w:t>
      </w:r>
    </w:p>
    <w:p>
      <w:r>
        <w:t>- 7 - manquent pas d’étonner le Tribunal, ce d’autant que le recours émane d’un mandataire professionnel. Au surplus, l’on constate que la recourante discute longuement de la question de savoir si un contrat d’entreprise a été conclu et conteste au demeurant sa résiliation intervenue le 17 avril 2025 en se prévalant de plusieurs dispositions du CO (art. 364 ss CO ; cf. dossier du TC, p. 8-10 et p. 16-22). Ces problématiques relèvent cependant du droit privé et il n’appartient pas à la Cour de céans d’examiner ces questions (cf. art. 72 al. 1 LPJA a contrario). Le litige porte, en effet, exclusivement sur la légalité de la révocation de l’adjudication, soit sur une question de droit public. L’on se limitera sur ce point à constater que l’adjudicateur a, le 17 avril 2025, résilié le contrat de droit privé selon lui valablement conclu (cf. dossier du TC, p. 253 et 254), circonstance qui n’exclut en toute hypothèse pas une révocation subséquente de l’adjudication (cf. POLTIER, Droit des marchés publics, 2e éd. 2023, n° 712, p. 343 et note de bas de page 1238 en p. 339)</w:t>
      </w:r>
    </w:p>
    <w:p>
      <w:r>
        <w:rPr>
          <w:b/>
        </w:rPr>
        <w:t>E. 1.4</w:t>
      </w:r>
    </w:p>
    <w:p>
      <w:r>
        <w:t>Nonobstant les importantes réserves émises ci-dessus, la Cour parvient à identifier trois griefs principaux qui seront examinés ci-après (violations du droit d’être entendu, de l’art. 44 AIMP et de plusieurs principes généraux de droit administratif). Dans cette mesure, il convient d’entrer en matière.</w:t>
      </w:r>
    </w:p>
    <w:p>
      <w:r>
        <w:rPr>
          <w:b/>
        </w:rPr>
        <w:t>E. 1.5</w:t>
      </w:r>
    </w:p>
    <w:p>
      <w:r>
        <w:t>Dans ce contentieux, le Tribunal s'en tient aux griefs que la recourante a motivés dans les formes prescrites par la loi (art. 80 al. 1 let. c et 48 al. 2 LPJA) et ne statue que sur la légalité de la décision attaquée non sur son opportunité (art. 56 al. 4 AIMP). A cela s’ajoute qu’en matière de marchés publics, le pouvoir adjudicateur dispose d'une grande liberté d'appréciation lors de l’adjudication ou d’autres décisions. Ainsi, le Tribunal ne saurait substituer d’emblée son appréciation à celle du pouvoir adjudicateur, seul l'abus ou l'excès du pouvoir d'appréciation devant être sanctionné (cf. ATF 143 II 120 consid. 7.2 cité par ex. in arrêt du Tribunal fédéral 2D_1/2024 du 1er mars 2024 consid. 3.4 ; POLTIER, op.cit., n° 856, p. 403). En revanche, l'autorité judiciaire n'a pas à faire preuve de la même retenue lors du contrôle des règles de procédure en matière de marchés publics (cf. ATF 141 II 353 consid. 3).</w:t>
      </w:r>
    </w:p>
    <w:p>
      <w:r>
        <w:rPr>
          <w:b/>
        </w:rPr>
        <w:t>E. 2.1</w:t>
      </w:r>
    </w:p>
    <w:p>
      <w:r>
        <w:t>Faisant usage d'un droit que la loi lui reconnaît (art. 80 al. 1 let. d, 56 al. 1 et 17 al. 2 LPJA), la recourante a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w:t>
      </w:r>
    </w:p>
    <w:p>
      <w:r>
        <w:t>- 8 -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148 II 73 consid. 7.3.1).</w:t>
      </w:r>
    </w:p>
    <w:p>
      <w:r>
        <w:rPr>
          <w:b/>
        </w:rPr>
        <w:t>E. 2.2</w:t>
      </w:r>
    </w:p>
    <w:p>
      <w:r>
        <w:t>En l’occurrence, le Conseil d’Etat a produit l’intégralité de son dossier, ce qui satisfait à la demande de la recourante. Dans ses allégués, la recourante sollicite également l’interrogatoire des parties. La Cour estime que l’administration de ce moyen de preuve est superflue. En effet, les parties ont eu tout loisir de s’exprimer par écrit et d’exposer ainsi tous les faits et arguments qu’elles jugeaient pertinents. Enfin, dans ses conclusions, la recourante a requis, « le cas échéant », la réalisation d’une expertise « sur l'origine et la justification technique de l'augmentation des coûts » (cf. conclusion n° 4 du mémoire de recours, dossier du TC, p. 36). Cette expertise n’est pas mentionnée dans le chapitre IV consacré aux moyens de preuve. En outre, elle ne se rapproche d’aucun allégué du recours. La recourante semble ainsi s’être simplement réservée la possibilité de requérir formellement la mise en œuvre d’une expertise, ce qui s’apparente à une clause de style inadmissible (cf. p. ex. ACDP A1 24 116 du 18 mars 2025 consid. 2 et les références). Dans tous les cas et ainsi qu’il ressort des considérants suivants de l’arrêt, ce moyen de preuve n’apparaît pas utile à la résolution du litige, le dossier comportant toutes les pièces nécessaires pour statuer.</w:t>
      </w:r>
    </w:p>
    <w:p>
      <w:r>
        <w:rPr>
          <w:b/>
        </w:rPr>
        <w:t>E. 3</w:t>
      </w:r>
    </w:p>
    <w:p>
      <w:r>
        <w:t>Dans un grief de nature formelle qu'il convient d'examiner en premier lieu, la recourante se plaint d'une violation de son droit d'être entendue. Elle reproche tout d’abord au Conseil d’Etat de ne pas lui avoir octroyé la possibilité de se déterminer avant de révoquer la décision d’adjudication du 29 mars 2023. Elle considère ensuite que la décision litigieuse n’est pas suffisamment motivée au sens de l’art. 51 al. 2 AIMP puisqu’elle ne se réfère pas à l’art. 44 AIMP.</w:t>
      </w:r>
    </w:p>
    <w:p>
      <w:r>
        <w:rPr>
          <w:b/>
        </w:rPr>
        <w:t>E. 3.1</w:t>
      </w:r>
    </w:p>
    <w:p>
      <w:r>
        <w:t>Le droit d'être entendu garanti par l’art. 29 al. 2 Cst.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Le droit d'être entendu garantit également qu’une décision soit motivée en fait et en droit. L’autorité peut néanmoins se limiter à l’examen des questions décisives pour l’issue du litige, sans exposer et discuter tous les faits, moyens de preuve et griefs invoqués par les parties. Il suffit qu’elle mentionne brièvement les motifs qui l’ont guidée et sur lesquels elle a fondé</w:t>
      </w:r>
    </w:p>
    <w:p>
      <w:r>
        <w:t>- 9 - sa décision (ATF 147 IV 249 consid. 2.4). En droit des marchés publics, cette exigence de motivation est concrétisée à l’art. 51 al. 2 AIMP, qui précise que les décisions sujettes à recours doivent être sommairement motivées et indiquer les voies de droit.</w:t>
      </w:r>
    </w:p>
    <w:p>
      <w:r>
        <w:rPr>
          <w:b/>
        </w:rPr>
        <w:t>E. 3.2</w:t>
      </w:r>
    </w:p>
    <w:p>
      <w:r>
        <w:t>En l’espèce, la décision litigieuse a été précédée de plusieurs échanges écrits. En effet, le 27 mars 2025, le SIP a rejeté l’offre de la recourante du 21 mars 2025 et l’a sommée de confirmer celle du 2 juillet 2024. Il lui a également indiqué qu’il agirait « par toutes les voies de droit utiles » (cf. dossier du TC, p. 297-298). Le 1er avril 2025, la recourante a transmis à l’adjudicateur deux offres censées expliquer celle du 21 mars 2025 (cf. dossier du TC, p. 211-224). Le 8 avril 2025, elle a confirmé son offre du 21 mars 2025, ce qui a conduit à la résiliation du contrat d’entreprise par l’adjudicateur le 17 avril 2025. A cette occasion, l’autorité précédente a également informé la recourante que la révocation de la décision d’adjudication interviendrait ultérieurement. Dès lors, la recourante ne pouvait pas ignorer qu’une décision allait être rendue et il lui était loisible de se déterminer à ce sujet. Elle a d’ailleurs saisi cette opportunité le 17 avril 2025 puisqu’elle a écrit au SIP « avoir pris note de l’intention de révoquer la décision d’adjudication » et lui a indiqué que le montant offert le 21 mars 2025 provenait de l’adaptation du projet sollicitée par l’adjudicateur. Pour tous ces motifs, la recourante ne saurait être suivie lorsqu’elle affirme que l’autorité précédente ne lui a pas donné l’occasion de se déterminer. La décision litigieuse mentionne que le refus de la recourante d’exécuter les travaux au prix de son offre du 2 juillet 2024 et la hausse significative et injustifiée des coûts occasionnée ont entraîné une rupture du lien de confiance, qui constitue un juste motif de révocation au sens de l’art. 44 AIMP (cf. dossier du TC, p. 41). Dès lors, la décision contestée expose de manière claire son fondement et satisfait aux exigences de motivation (cf. supra consid. 3.1). Contrairement à ce que prétend la recourante, l’absence de référence expresse à l’art. 44 AIMP n’apparaît pas problématique dans la mesure où la loi n’impose pas à l’adjudicateur de reproduire cette base légale et que les motifs de révocation ont été clairement indiqués, ce qui a d’ailleurs permis à la recourante de recourir valablement céans (cf. dossier du TC, p. 2-37). Partant, le grief de violation du droit d’être entendu est rejeté.</w:t>
      </w:r>
    </w:p>
    <w:p>
      <w:r>
        <w:rPr>
          <w:b/>
        </w:rPr>
        <w:t>E. 4</w:t>
      </w:r>
    </w:p>
    <w:p>
      <w:r>
        <w:t>Dans un second grief, la recourante soutient que la décision litigieuse est contraire au droit, car l’argument invoqué par le Conseil d’Etat, à savoir une rupture du lien de confiance, ne correspondrait pas à l’un des motifs de révocation énumérés, selon elle de manière exhaustive, à l’art. 44 AIMP. De plus, elle estime que le prix offert le 21 mars 2025 était justifié puisqu’il découlait de modifications sollicitées par le Conseil d’Etat au début de</w:t>
      </w:r>
    </w:p>
    <w:p>
      <w:r>
        <w:t>- 10 - l’année 2025 et du renchérissement intervenu sur le marché de la construction depuis l’offre du 24 mai 2022.</w:t>
      </w:r>
    </w:p>
    <w:p>
      <w:r>
        <w:rPr>
          <w:b/>
        </w:rPr>
        <w:t>E. 4.1</w:t>
      </w:r>
    </w:p>
    <w:p>
      <w:r>
        <w:t>L’art. 44 AIMP mentionne plusieurs situations qui permettent à l’adjudicateur d’exclure un soumissionnaire de la procédure d’adjudication, de le radier d’une liste ou de révoquer une adjudication. Les motifs énumérés de manière exhaustive à l’art. 44 al. 1 doivent être avérés pour motiver une telle sanction. L’al. 2 recense, de manière exemplative, des circonstances qui appellent des mesures dès que l’on dispose d’ « indices suffisants » quant à leur existence (Message type concernant la révision de l’Accord intercantonal sur les marchés publics [AIMP] du 15 novembre 2019 [ci-après : Message type concernant la révision de l’AIMP], version 1.3 du 8 septembre 2022, p. 94 ; sur le caractère non exhaustif de la liste cf. POLTIER, op. cit., n° 702, p. 338 et DIEBOLD/KELLER/KREIS/TANNER, Aufsichinstrumente im revidierten Beschaffungsrecht in : ZUFFEREY et al. [éd.], Marchés publics 2020, Zurich/Bâle/Genève 2020, n° 34 p. 330). Dans le cadre de l’exécution d’un marché public, la collaboration entre l’adjudicateur et le soumissionnaire suppose une relation de confiance et si cette confiance est brisée ou sérieusement menacée, l’adjudicateur ne devrait pas être contraint de collaborer avec le soumissionnaire concerné (cf. BEYELER, Der Geltungsanspruch des Vergaberechts, 2012, n° 2742, p. 1503). L’adjudicateur ne peut toutefois pas exclure un soumissionnaire sur la base d’un simple soupçon et il est tenu de clarifier ce dernier et d’évaluer soigneusement les éventuelles preuves. Le principe de la proportionnalité et l’interdiction du formalisme excessif doivent être respectés. Ces exigences sont d’autant plus indiquées que l’adjudicateur pourrait, dans la plupart des cas, exclure un soumissionnaire de la procédure, le radier d’une liste ou révoquer une adjudication sur la base de seuls soupçons. Dans ce contexte, les adjudicateurs disposent d’un large pouvoir d’appréciation (Message type concernant la révision de l’AIMP, p. 94 ; POLTIER, op. cit., n° 710, p. 341).</w:t>
      </w:r>
    </w:p>
    <w:p>
      <w:r>
        <w:rPr>
          <w:b/>
        </w:rPr>
        <w:t>E. 4.2.1</w:t>
      </w:r>
    </w:p>
    <w:p>
      <w:r>
        <w:t>En l’occurrence, le marché litigieux a été modifié après la décision d’adjudication du 29 mars 2023, ce qui n’est pas contesté, et la recourante a été informée de ce changement au mois de mars 2024 (cf. dossier du TC, p. 125-128). Après plusieurs échanges de mars à juin 2024 avec le bureau d’architectes, la recourante a transmis à l’adjudicateur une offre révisée d’un montant de 2'056'731 fr. 25 le 2 juillet 2024, qui a été acceptée par la direction des travaux le 4 juillet 2024 (cf. recours du 26 mai 2025, allégué n° 12, dossier du TC, p. 4 et p. 295). Cette offre se référait expressément au nouveau concept de toiture et ne comportait aucune réserve quant à un éventuel caractère provisoire</w:t>
      </w:r>
    </w:p>
    <w:p>
      <w:r>
        <w:t>- 11 - (cf. offre du 2 juillet 2024, position n° 6 « panneau sandwich pour toiture IN OPTIMA CP160 », dossier du TC, p. 197). Elle revêtait donc un caractère ferme et définitif. Dès lors, l’adjudicateur pouvait légitimement considérer que le montant de 2'056'731 fr. 25 ne serait pas modifié ultérieurement. Ce nonobstant, le 21 mars 2025, la recourante a communiqué à l’adjudicateur une nouvelle offre arrêtées à 2'931'792 fr. 10. Selon elle, ce montant résultait de « nouvelles exigences techniques » imposées par l’adjudicateur en début d’année 2025 (cf. recours du 26 mai 2025, allégué n° 19, dossier du TC, p. 4). A compter du 2 juillet 2024, le bureau d’architectes et la recourante ont échangé de nombreux courriels et se sont rencontrés lors de séances (cf. dossier du TC, p. 125, 139, 141, 145-146, 149-151, 160-168 et 171). Leurs discussions concernaient l’ajustement du projet et la réalisation des travaux à effectuer (renseignements sur les caractéristiques des matériaux et la sécurisation du chantier, coordination avec les autres corps de métier, teinte des panneaux « sandwich », correction des plans, etc., cf. dossier du TC, p. 125- 189). Aucune pièce versée au dossier ne démontre que l’adjudicateur a formulé une nouvelle demande depuis celle de mars 2024. Cette observation est confirmée par la liste des travaux déposée céans qui recense le type de travail et les heures accomplies par la recourante depuis l’élaboration de son offre du 24 mai 2022 jusqu’à la confirmation du 8 avril 2025 (cf. dossier du TC, p. 190). Ce tableau mentionne l’établissement et la finalisation d’un « devis estimatif selon les positions de la soumission initiale de 2022 et l’ajout des nouveaux éléments de couverture » les 1er et 2 juillet 2024. Les lignes suivantes énumèrent les séances intervenues avec le bureau d’architectes, des fournisseurs et les adjudicataires des autres lots ainsi que l’ « étude des détails » et l’ « élaboration des plans ». Ces éléments se rapportent manifestement à la mise en œuvre du marché suite à l’acceptation de l’offre du 2 juillet 2024 et n’évoquent pas une modification ultérieure du projet. D’ailleurs, après l’ « ajout des nouveaux éléments de couverture » consigné le 1er juillet 2024, la liste des travaux ne répertorie aucune nouvelle requête de l’adjudicateur (cf. dossier du TC, p. 190). Dès lors, contrairement à ce qu’affirme la recourante, on ne peut pas retenir l’existence de « nouvelles exigences techniques » imposées par l’adjudicateur en début d’année 2025. Au surplus, la recourante ne prétend pas que la hausse de prix provient des 182 heures consacrées au marché depuis le 2 juillet 2024 (cf. liste des travaux, dossier du TC, p. 190). Quoi qu’il en soit, ces heures ne sauraient justifier une augmentation de 875’060 fr. 85. (2'931'792 fr. 10 - 2'056'731 fr. 25 = 875’060 fr. 85). En effet, une offre inclut généralement le temps nécessaire à son exécution lorsque celle-ci intervient dans un contexte usuel. Même s’il fallait retenir l’inverse, la hausse de prix supposerait une</w:t>
      </w:r>
    </w:p>
    <w:p>
      <w:r>
        <w:t>- 12 - facturation des heures effectuées selon un taux horaire de 4808 fr. 02/heure, ce qui apparaît irréaliste (875’060 fr. 85 / 182 = 4808 fr. 02). Du reste, les heures inscrites pour l’élaboration des plans sont inexactes puisque ces derniers ont été modifiés par le bureau d’architectes (cf. dossier du TC, p. 144, 175, 181 et 188). Les offres du 1er avril 2025 supposées justifier celle du 21 mars 2025 n’apparaissent pas pertinentes non plus. En effet, la recourante explique que le montant de 2'931'792 fr. 10 comprend les « positions de la soumission de mai 2022 », d’une valeur de 335'190 fr. 10, et les « modifications intervenues depuis mai 2022 », d’un montant de 2'596'602 fr. (cf. recours du 26 mai 2025, allégués nos 21 et 22, dossier du TC, p. 4). Or, l’offre initiale, qui s’élevait à 1'526'425 fr. 80, corrigée par l’adjudicateur à 1'944'233 fr. 90, ne coïncide en rien avec le montant de 335'190 fr. 10 évoqué par le recourante. Du reste, le montant de 2'596'602 fr. est sensiblement plus élevé que l’offre initiale alors qu’il est censé ne représenter qu’une modification accessoire, ce qui apparaît totalement incohérent. En définitive, une comparaison des offres des 2 juillet 2024 et 21 mars 2025 démontre que l’augmentation du prix ne résulte pas d’un renchérissement du coût des matériaux. En effet, l’offre du 21 mars 2025 contient de nouveaux postes et se réfère à des dimensions différentes de celle du 2 juillet 2024 (ml, m2, nombre de pièces, etc., cf. dossier du TC, p. 191-210). Pour tous ces motifs, la recourante, qui supporte le fardeau de la preuve, ne parvient pas à démontrer que le prix offert le 21 mars 2025 est fondé.</w:t>
      </w:r>
    </w:p>
    <w:p>
      <w:r>
        <w:rPr>
          <w:b/>
        </w:rPr>
        <w:t>E. 4.2.2</w:t>
      </w:r>
    </w:p>
    <w:p>
      <w:r>
        <w:t>Il convient désormais d’examiner si cette augmentation de prix injustifiée constitue un motif légitime de révocation au sens de l’art. 44 AIMP. La rupture du lien de confiance invoquée par le Conseil d’Etat ne figure, certes, pas à l’art. 44 AIMP. Ce nonobstant, comme relevé supra (cf. consid. 4.1), l’al. 2 de cette disposition est formulé de manière exemplative et permet à l’adjudicateur de se prévaloir d’autres raisons que celles listées. A titre d’exemple, le Message type concernant la révision de l’AIMP évoque en particulier la rupture de la relation de confiance entre l’adjudicateur et l’adjudicataire. Or, on peut aisément comprendre que l’adjudicateur se soit senti floué par l’offre du 21 mars 2025 d’un montant de 2'931'792 fr. 10, neuf mois après avoir validé une offre révisée d’un montant de 2'056'731 fr. 25 et alors que le marché était inchangé depuis. Comme examiné supra (cf. consid. 3.2), après la réception de l’offre litigieuse, l’adjudicateur a offert à la recourante la possibilité d’expliquer son offre. Il lui a également proposé d’exécuter le marché conformément à l’offre du 2 juillet 2024. La recourante s’est contentée de confirmer son offre du 21 mars 2025 en se fondant sur de prétendues nouvelles exigences de l’adjudicateur, qui ne sont pas avérées (cf. supra consid. 4.2.1). Elle a refusé d’honorer son</w:t>
      </w:r>
    </w:p>
    <w:p>
      <w:r>
        <w:t>- 13 - offre du 2 juillet 2024. Face à ce comportement et au vu de l’ampleur de la hausse de prix sollicitée, l’adjudicateur, qui doit veiller à une utilisation parcimonieuse des deniers publics (art. 2 al. 1 let. a AIMP), était en droit de révoquer la décision d’adjudication, étant rappelé son large pouvoir d’appréciation en la matière. Par conséquent, le grief de violation de l’art. 44 AIMP apparaît mal fondé.</w:t>
      </w:r>
    </w:p>
    <w:p>
      <w:r>
        <w:rPr>
          <w:b/>
        </w:rPr>
        <w:t>E. 5</w:t>
      </w:r>
    </w:p>
    <w:p>
      <w:r>
        <w:t>Dans un troisième grief, la recourante considère que la décision litigieuse contrevient à plusieurs principes généraux du droit administratif (principe de la proportionnalité, de l’égalité de traitement, de la transparence, de la bonne foi et de l’interdiction de l’arbitraire).</w:t>
      </w:r>
    </w:p>
    <w:p>
      <w:r>
        <w:rPr>
          <w:b/>
        </w:rPr>
        <w:t>E. 5.1</w:t>
      </w:r>
    </w:p>
    <w:p>
      <w:r>
        <w:t>En matière de marchés publics, le Message type concernant la révision de l’AIMP précise à propos de l’exclusion et de la révocation évoquées à l’art. 44 AIMP que l’adjudicateur est tenu de respecter le principe de la proportionnalité et de l’interdiction du formalisme excessif (cf. Message type concernant la révision de l’AIMP, p. 86). Le principe de la proportionnalité garanti par l'art. 5 al. 2 Cst.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 ATF 149 I 49 consid. 5.1 cité par ex. in arrêt du Tribunal fédéral 1C_182/2023 du 16 août 2024 consid. 4.1.1). Découlant directement des art. 5 al. 3 et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(ATF 143 V 95 consid. 3.6.2 cité par ex. in arrêt du Tribunal fédéral 1C_41/2024 du 9 décembre 2024 consid. 4.1). Selon l'art. 8 al. 1 Cst.,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(ATF 146 II 56 consid. 9.1). La protection de l'égalité et celle contre l'arbitraire sont étroitement liées. Une décision est arbitraire au sens de l'art. 9 Cst. si elle est manifestement insoutenable, méconnaît gravement une norme ou un principe juridique clair et indiscuté ou heurte de manière choquante le sentiment de la</w:t>
      </w:r>
    </w:p>
    <w:p>
      <w:r>
        <w:t>- 14 - justice et de l'équité, non seulement dans ses motifs, mais également dans son résultat (ATF 148 IV 409 consid. 2.2). Le principe de la transparence exige du pouvoir adjudicateur qu’il procède à une publication d’un avis de marché (transparence ex ante) et qu’il se conforme dans la suite de la procédure aux conditions du marché qu’il a préalablement annoncées (transparence ex post). La transparence ex post joue aussi un rôle d’appui pour un contrôle judiciaire effectif et elle est liée à la garantie du droit d’être entendu dans ce contexte (ATF 141 II 353 consid. 8.2.3 ; POLTIER, op. cit., n° 482, p. 236-237).</w:t>
      </w:r>
    </w:p>
    <w:p>
      <w:r>
        <w:rPr>
          <w:b/>
        </w:rPr>
        <w:t>E. 5.2</w:t>
      </w:r>
    </w:p>
    <w:p>
      <w:r>
        <w:t>En l’espèce, comme examiné supra (cf. consid. 4.2.2), avant le prononcé de la décision litigieuse, la recourante a refusé de manière injustifiée d’honorer son offre du 2 juillet 2024. La rupture du lien de confiance provoquée par ce comportement, ajoutée à la hausse de prix significative exigée par la recourante, imposaient une révocation de la décision d’adjudication. Dès lors, on ne saurait reprocher à l’adjudicateur d’avoir agi de manière disproportionnée. De plus, la décision litigieuse a été précédée de plusieurs échanges avec la recourante et elle répond aux exigences de motivation, ce qui démontre le respect du principe de la transparence (cf. supra consid. 3.2). En outre, la Cour précise que si la décision d’adjudication autorise l’adjudicateur à contracter avec le soumissionnaire retenu, elle ne l’y oblige pas. Partant, le soumissionnaire peut s'attendre à ce que le marché lui soit adjugé, mais il ne peut pas prétendre à la conclusion du contrat, la décision d'adjudication pouvant être révoquée (ATF 134 II 297 consid. 4.4 ; cf. ég. BRAHIER, Offre et contrat : vérification, épuration, rectification et négociation in : ZUFFEREY/BEYELER/SCHERLER, Marchés Publics 2018, p. 307). Ainsi, la décision d’adjudication ne saurait fonder une attente légitime de la recourante quant à la conclusion du contrat ou à l’absence de révocation ultérieure. Enfin, la Cour rappelle qu’une fois la décision d’adjudication rendue, seuls subsistent des rapports entre l’adjudicateur et l’adjudicataire. Dans ce contexte, rien ne permet de considérer que la décision litigieuse porte atteinte au principe de l’égalité de traitement. Par conséquent, ce grief tombe à faux.</w:t>
      </w:r>
    </w:p>
    <w:p>
      <w:r>
        <w:rPr>
          <w:b/>
        </w:rPr>
        <w:t>E. 6.1</w:t>
      </w:r>
    </w:p>
    <w:p>
      <w:r>
        <w:t>Attendu ce qui précède, le recours est rejeté dans la mesure de sa recevabilité (art. 80 al. 1 let. e et 60 al. 1 LPJA).</w:t>
      </w:r>
    </w:p>
    <w:p>
      <w:r>
        <w:t>- 15 -</w:t>
      </w:r>
    </w:p>
    <w:p>
      <w:r>
        <w:rPr>
          <w:b/>
        </w:rPr>
        <w:t>E. 6.2</w:t>
      </w:r>
    </w:p>
    <w:p>
      <w:r>
        <w:t>Le présent arrêt rend sans objet les demandes d’effet suspensif et d’interruption des travaux relatifs au lot CFC 222/224, qui sont dès lors classées.</w:t>
      </w:r>
    </w:p>
    <w:p>
      <w:r>
        <w:rPr>
          <w:b/>
        </w:rPr>
        <w:t>E. 7</w:t>
      </w:r>
    </w:p>
    <w:p>
      <w:r>
        <w:t>La recourante succombe entièrement et supporte la totalité de l’émolument de justice, qu’il convient de fixer, notamment en application des principes de couverture des frais et d’équivalence des prestations, à 3000 fr., débours compris (art. 89 al. 1 LPJA ; art. 3 al. 3, 13 et 25 LTar). Elle n’a pas droit à des dépens (art. 91 al. 1 LPJA a contrario). Le Conseil d’Etat n’a pas sollicité de dépens et n’y avait de toute manière pas droit vu l’art.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